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5BB" w:rsidRPr="008B05BB" w:rsidRDefault="008B05BB" w:rsidP="008B05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en-US"/>
        </w:rPr>
      </w:pPr>
      <w:r w:rsidRPr="008B05BB">
        <w:rPr>
          <w:rFonts w:ascii="Segoe UI Symbol" w:eastAsia="Times New Roman" w:hAnsi="Segoe UI Symbol" w:cs="Segoe UI Symbol"/>
          <w:color w:val="00B050"/>
          <w:sz w:val="24"/>
          <w:szCs w:val="24"/>
          <w:lang w:val="en-US"/>
        </w:rPr>
        <w:t>🌿</w:t>
      </w:r>
    </w:p>
    <w:p w:rsidR="004B0055" w:rsidRPr="004B0055" w:rsidRDefault="004B0055" w:rsidP="004B0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5" style="width:0;height:1.5pt" o:hralign="center" o:hrstd="t" o:hr="t" fillcolor="#a0a0a0" stroked="f"/>
        </w:pict>
      </w:r>
    </w:p>
    <w:p w:rsidR="004B0055" w:rsidRPr="004B0055" w:rsidRDefault="004B0055" w:rsidP="004B005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/>
        </w:rPr>
      </w:pPr>
      <w:r w:rsidRPr="004B0055">
        <w:rPr>
          <w:rFonts w:ascii="DejaVu Sans Mono" w:eastAsia="Times New Roman" w:hAnsi="DejaVu Sans Mono" w:cs="DejaVu Sans Mono"/>
          <w:b/>
          <w:bCs/>
          <w:kern w:val="36"/>
          <w:sz w:val="48"/>
          <w:szCs w:val="48"/>
          <w:lang w:val="en-US"/>
        </w:rPr>
        <w:t>⚖</w:t>
      </w:r>
      <w:r w:rsidRPr="004B005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/>
        </w:rPr>
        <w:t>️ Console Mission – Risk Management Framework</w:t>
      </w:r>
    </w:p>
    <w:p w:rsidR="004B0055" w:rsidRPr="004B0055" w:rsidRDefault="004B0055" w:rsidP="004B00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नेपालको सन्दर्भमा जोखिम व्यवस्थापन रूपरेखा</w:t>
      </w:r>
    </w:p>
    <w:p w:rsidR="004B0055" w:rsidRPr="004B0055" w:rsidRDefault="004B0055" w:rsidP="004B0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6" style="width:0;height:1.5pt" o:hralign="center" o:hrstd="t" o:hr="t" fillcolor="#a0a0a0" stroked="f"/>
        </w:pict>
      </w:r>
    </w:p>
    <w:p w:rsidR="004B0055" w:rsidRPr="004B0055" w:rsidRDefault="004B0055" w:rsidP="004B00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1. Purpose / </w:t>
      </w:r>
      <w:r w:rsidRPr="004B0055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उद्देश्य</w:t>
      </w:r>
    </w:p>
    <w:p w:rsidR="004B0055" w:rsidRPr="004B0055" w:rsidRDefault="004B0055" w:rsidP="004B005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English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>: To identify, assess, mitigate, and monitor risks that may affect Console Mission’s mission, operations, and community trust.</w:t>
      </w:r>
    </w:p>
    <w:p w:rsidR="004B0055" w:rsidRPr="004B0055" w:rsidRDefault="004B0055" w:rsidP="004B005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Nepali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Console Mission </w:t>
      </w:r>
      <w:r w:rsidRPr="004B0055">
        <w:rPr>
          <w:rFonts w:ascii="Times New Roman" w:eastAsia="Times New Roman" w:hAnsi="Times New Roman" w:cs="Mangal"/>
          <w:sz w:val="24"/>
          <w:szCs w:val="24"/>
          <w:cs/>
          <w:lang w:val="en-US"/>
        </w:rPr>
        <w:t>को उद्देश्य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4B0055">
        <w:rPr>
          <w:rFonts w:ascii="Times New Roman" w:eastAsia="Times New Roman" w:hAnsi="Times New Roman" w:cs="Mangal"/>
          <w:sz w:val="24"/>
          <w:szCs w:val="24"/>
          <w:cs/>
          <w:lang w:val="en-US"/>
        </w:rPr>
        <w:t>गतिविधि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4B0055">
        <w:rPr>
          <w:rFonts w:ascii="Times New Roman" w:eastAsia="Times New Roman" w:hAnsi="Times New Roman" w:cs="Mangal"/>
          <w:sz w:val="24"/>
          <w:szCs w:val="24"/>
          <w:cs/>
          <w:lang w:val="en-US"/>
        </w:rPr>
        <w:t>र सामुदायिक विश्वासलाई असर पार्न सक्ने जोखिमहरू पहिचान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4B0055">
        <w:rPr>
          <w:rFonts w:ascii="Times New Roman" w:eastAsia="Times New Roman" w:hAnsi="Times New Roman" w:cs="Mangal"/>
          <w:sz w:val="24"/>
          <w:szCs w:val="24"/>
          <w:cs/>
          <w:lang w:val="en-US"/>
        </w:rPr>
        <w:t>मूल्याङ्कन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4B0055">
        <w:rPr>
          <w:rFonts w:ascii="Times New Roman" w:eastAsia="Times New Roman" w:hAnsi="Times New Roman" w:cs="Mangal"/>
          <w:sz w:val="24"/>
          <w:szCs w:val="24"/>
          <w:cs/>
          <w:lang w:val="en-US"/>
        </w:rPr>
        <w:t>न्यूनीकरण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4B0055">
        <w:rPr>
          <w:rFonts w:ascii="Times New Roman" w:eastAsia="Times New Roman" w:hAnsi="Times New Roman" w:cs="Mangal"/>
          <w:sz w:val="24"/>
          <w:szCs w:val="24"/>
          <w:cs/>
          <w:lang w:val="en-US"/>
        </w:rPr>
        <w:t>र निगरानी गर्ने।</w:t>
      </w:r>
    </w:p>
    <w:p w:rsidR="004B0055" w:rsidRPr="004B0055" w:rsidRDefault="004B0055" w:rsidP="004B0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7" style="width:0;height:1.5pt" o:hralign="center" o:hrstd="t" o:hr="t" fillcolor="#a0a0a0" stroked="f"/>
        </w:pict>
      </w:r>
    </w:p>
    <w:p w:rsidR="004B0055" w:rsidRPr="004B0055" w:rsidRDefault="004B0055" w:rsidP="004B00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2. Scope / </w:t>
      </w:r>
      <w:r w:rsidRPr="004B0055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दायरा</w:t>
      </w:r>
    </w:p>
    <w:p w:rsidR="004B0055" w:rsidRPr="004B0055" w:rsidRDefault="004B0055" w:rsidP="004B005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>Applies to governance, finance, programs, staff, assets, and community engagement.</w:t>
      </w:r>
    </w:p>
    <w:p w:rsidR="004B0055" w:rsidRPr="004B0055" w:rsidRDefault="004B0055" w:rsidP="004B005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>Covers both internal risks (e.g., financial mismanagement, staff misconduct) and external risks (e.g., political instability, natural disasters).</w:t>
      </w:r>
    </w:p>
    <w:p w:rsidR="004B0055" w:rsidRPr="004B0055" w:rsidRDefault="004B0055" w:rsidP="004B0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8" style="width:0;height:1.5pt" o:hralign="center" o:hrstd="t" o:hr="t" fillcolor="#a0a0a0" stroked="f"/>
        </w:pict>
      </w:r>
    </w:p>
    <w:p w:rsidR="004B0055" w:rsidRPr="004B0055" w:rsidRDefault="004B0055" w:rsidP="004B00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3. Core Principles / </w:t>
      </w:r>
      <w:r w:rsidRPr="004B0055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मूल सिद्धान्तहरू</w:t>
      </w:r>
    </w:p>
    <w:p w:rsidR="004B0055" w:rsidRPr="004B0055" w:rsidRDefault="004B0055" w:rsidP="004B005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Proactive (</w:t>
      </w:r>
      <w:r w:rsidRPr="004B0055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पूर्वसावधानी)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>: Identify risks before they escalate.</w:t>
      </w:r>
    </w:p>
    <w:p w:rsidR="004B0055" w:rsidRPr="004B0055" w:rsidRDefault="004B0055" w:rsidP="004B005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Transparency (</w:t>
      </w:r>
      <w:r w:rsidRPr="004B0055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पारदर्शिता)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>: Share risk processes with board, donors, and communities.</w:t>
      </w:r>
    </w:p>
    <w:p w:rsidR="004B0055" w:rsidRPr="004B0055" w:rsidRDefault="004B0055" w:rsidP="004B005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Accountability (</w:t>
      </w:r>
      <w:r w:rsidRPr="004B0055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जवाफदेहिता)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>: Assign clear responsibility for risk management.</w:t>
      </w:r>
    </w:p>
    <w:p w:rsidR="004B0055" w:rsidRPr="004B0055" w:rsidRDefault="004B0055" w:rsidP="004B005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Community-Centered (</w:t>
      </w:r>
      <w:r w:rsidRPr="004B0055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समुदाय-केन्द्रित)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>: Engage local committees in risk identification and mitigation.</w:t>
      </w:r>
    </w:p>
    <w:p w:rsidR="004B0055" w:rsidRPr="004B0055" w:rsidRDefault="004B0055" w:rsidP="004B005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Compliance (</w:t>
      </w:r>
      <w:r w:rsidRPr="004B0055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अनुपालन)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>: Align with Nepali law and donor requirements.</w:t>
      </w:r>
    </w:p>
    <w:p w:rsidR="004B0055" w:rsidRPr="004B0055" w:rsidRDefault="004B0055" w:rsidP="004B0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9" style="width:0;height:1.5pt" o:hralign="center" o:hrstd="t" o:hr="t" fillcolor="#a0a0a0" stroked="f"/>
        </w:pict>
      </w:r>
    </w:p>
    <w:p w:rsidR="004B0055" w:rsidRPr="004B0055" w:rsidRDefault="004B0055" w:rsidP="004B00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4. Risk Categories / </w:t>
      </w:r>
      <w:r w:rsidRPr="004B0055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जोखिमका प्रकारहरू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2"/>
        <w:gridCol w:w="4269"/>
        <w:gridCol w:w="3945"/>
      </w:tblGrid>
      <w:tr w:rsidR="004B0055" w:rsidRPr="004B0055" w:rsidTr="004B005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B0055" w:rsidRPr="004B0055" w:rsidRDefault="004B0055" w:rsidP="004B0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00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Category</w:t>
            </w:r>
          </w:p>
        </w:tc>
        <w:tc>
          <w:tcPr>
            <w:tcW w:w="0" w:type="auto"/>
            <w:vAlign w:val="center"/>
            <w:hideMark/>
          </w:tcPr>
          <w:p w:rsidR="004B0055" w:rsidRPr="004B0055" w:rsidRDefault="004B0055" w:rsidP="004B0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00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Examples (Nepal Context)</w:t>
            </w:r>
          </w:p>
        </w:tc>
        <w:tc>
          <w:tcPr>
            <w:tcW w:w="0" w:type="auto"/>
            <w:vAlign w:val="center"/>
            <w:hideMark/>
          </w:tcPr>
          <w:p w:rsidR="004B0055" w:rsidRPr="004B0055" w:rsidRDefault="004B0055" w:rsidP="004B0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B00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Mitigation</w:t>
            </w:r>
          </w:p>
        </w:tc>
      </w:tr>
      <w:tr w:rsidR="004B0055" w:rsidRPr="004B0055" w:rsidTr="004B00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0055" w:rsidRPr="004B0055" w:rsidRDefault="004B0055" w:rsidP="004B0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0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Strategic</w:t>
            </w:r>
          </w:p>
        </w:tc>
        <w:tc>
          <w:tcPr>
            <w:tcW w:w="0" w:type="auto"/>
            <w:vAlign w:val="center"/>
            <w:hideMark/>
          </w:tcPr>
          <w:p w:rsidR="004B0055" w:rsidRPr="004B0055" w:rsidRDefault="004B0055" w:rsidP="004B0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0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Misalignment with donor priorities, weak governance</w:t>
            </w:r>
          </w:p>
        </w:tc>
        <w:tc>
          <w:tcPr>
            <w:tcW w:w="0" w:type="auto"/>
            <w:vAlign w:val="center"/>
            <w:hideMark/>
          </w:tcPr>
          <w:p w:rsidR="004B0055" w:rsidRPr="004B0055" w:rsidRDefault="004B0055" w:rsidP="004B0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0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Annual strategic review, board oversight</w:t>
            </w:r>
          </w:p>
        </w:tc>
      </w:tr>
      <w:tr w:rsidR="004B0055" w:rsidRPr="004B0055" w:rsidTr="004B00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0055" w:rsidRPr="004B0055" w:rsidRDefault="004B0055" w:rsidP="004B0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0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Operational</w:t>
            </w:r>
          </w:p>
        </w:tc>
        <w:tc>
          <w:tcPr>
            <w:tcW w:w="0" w:type="auto"/>
            <w:vAlign w:val="center"/>
            <w:hideMark/>
          </w:tcPr>
          <w:p w:rsidR="004B0055" w:rsidRPr="004B0055" w:rsidRDefault="004B0055" w:rsidP="004B0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0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Staff misconduct, safeguarding failures</w:t>
            </w:r>
          </w:p>
        </w:tc>
        <w:tc>
          <w:tcPr>
            <w:tcW w:w="0" w:type="auto"/>
            <w:vAlign w:val="center"/>
            <w:hideMark/>
          </w:tcPr>
          <w:p w:rsidR="004B0055" w:rsidRPr="004B0055" w:rsidRDefault="004B0055" w:rsidP="004B0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0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Code of Conduct, PSEA, GESI training</w:t>
            </w:r>
          </w:p>
        </w:tc>
      </w:tr>
      <w:tr w:rsidR="004B0055" w:rsidRPr="004B0055" w:rsidTr="004B00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0055" w:rsidRPr="004B0055" w:rsidRDefault="004B0055" w:rsidP="004B0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0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Financial</w:t>
            </w:r>
          </w:p>
        </w:tc>
        <w:tc>
          <w:tcPr>
            <w:tcW w:w="0" w:type="auto"/>
            <w:vAlign w:val="center"/>
            <w:hideMark/>
          </w:tcPr>
          <w:p w:rsidR="004B0055" w:rsidRPr="004B0055" w:rsidRDefault="004B0055" w:rsidP="004B0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0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Fraud, mismanagement, donor withdrawal</w:t>
            </w:r>
          </w:p>
        </w:tc>
        <w:tc>
          <w:tcPr>
            <w:tcW w:w="0" w:type="auto"/>
            <w:vAlign w:val="center"/>
            <w:hideMark/>
          </w:tcPr>
          <w:p w:rsidR="004B0055" w:rsidRPr="004B0055" w:rsidRDefault="004B0055" w:rsidP="004B0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0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Transparent procurement, audits, dual signatories</w:t>
            </w:r>
          </w:p>
        </w:tc>
      </w:tr>
      <w:tr w:rsidR="004B0055" w:rsidRPr="004B0055" w:rsidTr="004B00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0055" w:rsidRPr="004B0055" w:rsidRDefault="004B0055" w:rsidP="004B0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0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Compliance</w:t>
            </w:r>
          </w:p>
        </w:tc>
        <w:tc>
          <w:tcPr>
            <w:tcW w:w="0" w:type="auto"/>
            <w:vAlign w:val="center"/>
            <w:hideMark/>
          </w:tcPr>
          <w:p w:rsidR="004B0055" w:rsidRPr="004B0055" w:rsidRDefault="004B0055" w:rsidP="004B0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0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Breach of Nepali law, donor rules</w:t>
            </w:r>
          </w:p>
        </w:tc>
        <w:tc>
          <w:tcPr>
            <w:tcW w:w="0" w:type="auto"/>
            <w:vAlign w:val="center"/>
            <w:hideMark/>
          </w:tcPr>
          <w:p w:rsidR="004B0055" w:rsidRPr="004B0055" w:rsidRDefault="004B0055" w:rsidP="004B0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0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Legal review, compliance monitoring</w:t>
            </w:r>
          </w:p>
        </w:tc>
      </w:tr>
      <w:tr w:rsidR="004B0055" w:rsidRPr="004B0055" w:rsidTr="004B00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0055" w:rsidRPr="004B0055" w:rsidRDefault="004B0055" w:rsidP="004B0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0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Reputational</w:t>
            </w:r>
          </w:p>
        </w:tc>
        <w:tc>
          <w:tcPr>
            <w:tcW w:w="0" w:type="auto"/>
            <w:vAlign w:val="center"/>
            <w:hideMark/>
          </w:tcPr>
          <w:p w:rsidR="004B0055" w:rsidRPr="004B0055" w:rsidRDefault="004B0055" w:rsidP="004B0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0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Negative media, community distrust</w:t>
            </w:r>
          </w:p>
        </w:tc>
        <w:tc>
          <w:tcPr>
            <w:tcW w:w="0" w:type="auto"/>
            <w:vAlign w:val="center"/>
            <w:hideMark/>
          </w:tcPr>
          <w:p w:rsidR="004B0055" w:rsidRPr="004B0055" w:rsidRDefault="004B0055" w:rsidP="004B0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0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CFRM, proactive communication</w:t>
            </w:r>
          </w:p>
        </w:tc>
      </w:tr>
      <w:tr w:rsidR="004B0055" w:rsidRPr="004B0055" w:rsidTr="004B00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0055" w:rsidRPr="004B0055" w:rsidRDefault="004B0055" w:rsidP="004B0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0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Environmental</w:t>
            </w:r>
          </w:p>
        </w:tc>
        <w:tc>
          <w:tcPr>
            <w:tcW w:w="0" w:type="auto"/>
            <w:vAlign w:val="center"/>
            <w:hideMark/>
          </w:tcPr>
          <w:p w:rsidR="004B0055" w:rsidRPr="004B0055" w:rsidRDefault="004B0055" w:rsidP="004B0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0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Floods, earthquakes, climate risks</w:t>
            </w:r>
          </w:p>
        </w:tc>
        <w:tc>
          <w:tcPr>
            <w:tcW w:w="0" w:type="auto"/>
            <w:vAlign w:val="center"/>
            <w:hideMark/>
          </w:tcPr>
          <w:p w:rsidR="004B0055" w:rsidRPr="004B0055" w:rsidRDefault="004B0055" w:rsidP="004B0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0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Disaster preparedness, eco-friendly practices</w:t>
            </w:r>
          </w:p>
        </w:tc>
      </w:tr>
      <w:tr w:rsidR="004B0055" w:rsidRPr="004B0055" w:rsidTr="004B00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0055" w:rsidRPr="004B0055" w:rsidRDefault="004B0055" w:rsidP="004B0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0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Political/Social</w:t>
            </w:r>
          </w:p>
        </w:tc>
        <w:tc>
          <w:tcPr>
            <w:tcW w:w="0" w:type="auto"/>
            <w:vAlign w:val="center"/>
            <w:hideMark/>
          </w:tcPr>
          <w:p w:rsidR="004B0055" w:rsidRPr="004B0055" w:rsidRDefault="004B0055" w:rsidP="004B0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0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Strikes, policy changes, caste/gender tensions</w:t>
            </w:r>
          </w:p>
        </w:tc>
        <w:tc>
          <w:tcPr>
            <w:tcW w:w="0" w:type="auto"/>
            <w:vAlign w:val="center"/>
            <w:hideMark/>
          </w:tcPr>
          <w:p w:rsidR="004B0055" w:rsidRPr="004B0055" w:rsidRDefault="004B0055" w:rsidP="004B0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00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Stakeholder mapping, advocacy, neutrality</w:t>
            </w:r>
          </w:p>
        </w:tc>
      </w:tr>
    </w:tbl>
    <w:p w:rsidR="004B0055" w:rsidRPr="004B0055" w:rsidRDefault="004B0055" w:rsidP="004B0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0" style="width:0;height:1.5pt" o:hralign="center" o:hrstd="t" o:hr="t" fillcolor="#a0a0a0" stroked="f"/>
        </w:pict>
      </w:r>
    </w:p>
    <w:p w:rsidR="004B0055" w:rsidRPr="004B0055" w:rsidRDefault="004B0055" w:rsidP="004B00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5. Risk Management Cycle / </w:t>
      </w:r>
      <w:r w:rsidRPr="004B0055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जोखिम व्यवस्थापन चक्र</w:t>
      </w:r>
    </w:p>
    <w:p w:rsidR="004B0055" w:rsidRPr="004B0055" w:rsidRDefault="004B0055" w:rsidP="004B005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Identify (</w:t>
      </w:r>
      <w:r w:rsidRPr="004B0055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पहिचान)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Gather risks through staff, community, and donor input.</w:t>
      </w:r>
    </w:p>
    <w:p w:rsidR="004B0055" w:rsidRPr="004B0055" w:rsidRDefault="004B0055" w:rsidP="004B005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Assess (</w:t>
      </w:r>
      <w:r w:rsidRPr="004B0055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मूल्याङ्कन)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Rate risks by likelihood and impact.</w:t>
      </w:r>
    </w:p>
    <w:p w:rsidR="004B0055" w:rsidRPr="004B0055" w:rsidRDefault="004B0055" w:rsidP="004B005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Mitigate (</w:t>
      </w:r>
      <w:r w:rsidRPr="004B0055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न्यूनीकरण)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Develop strategies to reduce or eliminate risks.</w:t>
      </w:r>
    </w:p>
    <w:p w:rsidR="004B0055" w:rsidRPr="004B0055" w:rsidRDefault="004B0055" w:rsidP="004B005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Monitor (</w:t>
      </w:r>
      <w:r w:rsidRPr="004B0055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निगरानी)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Track risks continuously and update registers.</w:t>
      </w:r>
    </w:p>
    <w:p w:rsidR="004B0055" w:rsidRPr="004B0055" w:rsidRDefault="004B0055" w:rsidP="004B005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Report (</w:t>
      </w:r>
      <w:r w:rsidRPr="004B0055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प्रतिवेदन)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Share findings with board, donors, and communities.</w:t>
      </w:r>
    </w:p>
    <w:p w:rsidR="004B0055" w:rsidRPr="004B0055" w:rsidRDefault="004B0055" w:rsidP="004B0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1" style="width:0;height:1.5pt" o:hralign="center" o:hrstd="t" o:hr="t" fillcolor="#a0a0a0" stroked="f"/>
        </w:pict>
      </w:r>
    </w:p>
    <w:p w:rsidR="004B0055" w:rsidRPr="004B0055" w:rsidRDefault="004B0055" w:rsidP="004B00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6. Tools &amp; Mechanisms / </w:t>
      </w:r>
      <w:r w:rsidRPr="004B0055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उपकरणहरू</w:t>
      </w:r>
    </w:p>
    <w:p w:rsidR="004B0055" w:rsidRPr="004B0055" w:rsidRDefault="004B0055" w:rsidP="004B005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Risk Register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>: Maintained quarterly, with likelihood/impact scoring.</w:t>
      </w:r>
    </w:p>
    <w:p w:rsidR="004B0055" w:rsidRPr="004B0055" w:rsidRDefault="004B0055" w:rsidP="004B005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Community Feedback Response Mechanism (CFRM)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>: Early warning system for reputational and safeguarding risks.</w:t>
      </w:r>
    </w:p>
    <w:p w:rsidR="004B0055" w:rsidRPr="004B0055" w:rsidRDefault="004B0055" w:rsidP="004B005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Internal Audit &amp; Compliance Checks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>: Annual reviews.</w:t>
      </w:r>
    </w:p>
    <w:p w:rsidR="004B0055" w:rsidRPr="004B0055" w:rsidRDefault="004B0055" w:rsidP="004B005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Emergency Preparedness Plans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>: For floods, earthquakes, epidemics.</w:t>
      </w:r>
    </w:p>
    <w:p w:rsidR="004B0055" w:rsidRPr="004B0055" w:rsidRDefault="004B0055" w:rsidP="004B0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2" style="width:0;height:1.5pt" o:hralign="center" o:hrstd="t" o:hr="t" fillcolor="#a0a0a0" stroked="f"/>
        </w:pict>
      </w:r>
    </w:p>
    <w:p w:rsidR="004B0055" w:rsidRPr="004B0055" w:rsidRDefault="004B0055" w:rsidP="004B00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7. Roles &amp; Responsibilities / </w:t>
      </w:r>
      <w:r w:rsidRPr="004B0055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भूमिकाहरू</w:t>
      </w:r>
    </w:p>
    <w:p w:rsidR="004B0055" w:rsidRPr="004B0055" w:rsidRDefault="004B0055" w:rsidP="004B005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Board of Directors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>: Oversight and approval of risk policies.</w:t>
      </w:r>
    </w:p>
    <w:p w:rsidR="004B0055" w:rsidRPr="004B0055" w:rsidRDefault="004B0055" w:rsidP="004B005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Executive Director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>: Overall accountability for risk management.</w:t>
      </w:r>
    </w:p>
    <w:p w:rsidR="004B0055" w:rsidRPr="004B0055" w:rsidRDefault="004B0055" w:rsidP="004B005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Risk Committee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>: Reviews risk register and mitigation strategies.</w:t>
      </w:r>
    </w:p>
    <w:p w:rsidR="004B0055" w:rsidRPr="004B0055" w:rsidRDefault="004B0055" w:rsidP="004B005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Staff &amp; Volunteers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>: Report risks and follow mitigation protocols.</w:t>
      </w:r>
    </w:p>
    <w:p w:rsidR="004B0055" w:rsidRPr="004B0055" w:rsidRDefault="004B0055" w:rsidP="004B005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Community Committees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>: Identify local risks and provide feedback.</w:t>
      </w:r>
    </w:p>
    <w:p w:rsidR="004B0055" w:rsidRPr="004B0055" w:rsidRDefault="004B0055" w:rsidP="004B0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3" style="width:0;height:1.5pt" o:hralign="center" o:hrstd="t" o:hr="t" fillcolor="#a0a0a0" stroked="f"/>
        </w:pict>
      </w:r>
    </w:p>
    <w:p w:rsidR="004B0055" w:rsidRPr="004B0055" w:rsidRDefault="004B0055" w:rsidP="004B00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8. Commitment to Nepal’s Context / </w:t>
      </w:r>
      <w:r w:rsidRPr="004B0055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नेपालको सन्दर्भमा प्रतिबद्धता</w:t>
      </w:r>
    </w:p>
    <w:p w:rsidR="004B0055" w:rsidRPr="004B0055" w:rsidRDefault="004B0055" w:rsidP="004B005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>Respect local governance structures (ward committees, cooperatives).</w:t>
      </w:r>
    </w:p>
    <w:p w:rsidR="004B0055" w:rsidRPr="004B0055" w:rsidRDefault="004B0055" w:rsidP="004B005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>Use Nepali language and local dialects in risk communication.</w:t>
      </w:r>
    </w:p>
    <w:p w:rsidR="004B0055" w:rsidRPr="004B0055" w:rsidRDefault="004B0055" w:rsidP="004B005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>Prioritize rural Lalitpur and Mahottari for disaster preparedness.</w:t>
      </w:r>
    </w:p>
    <w:p w:rsidR="004B0055" w:rsidRPr="004B0055" w:rsidRDefault="004B0055" w:rsidP="004B005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>Integrate cultural practices (communal meetings, guthi) into risk monitoring.</w:t>
      </w:r>
    </w:p>
    <w:p w:rsidR="004B0055" w:rsidRPr="004B0055" w:rsidRDefault="004B0055" w:rsidP="004B0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4" style="width:0;height:1.5pt" o:hralign="center" o:hrstd="t" o:hr="t" fillcolor="#a0a0a0" stroked="f"/>
        </w:pict>
      </w:r>
    </w:p>
    <w:p w:rsidR="004B0055" w:rsidRPr="004B0055" w:rsidRDefault="004B0055" w:rsidP="004B00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9. Symbolic Representation / </w:t>
      </w:r>
      <w:r w:rsidRPr="004B0055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प्रतीकात्मक प्रस्तुति</w:t>
      </w:r>
    </w:p>
    <w:p w:rsidR="004B0055" w:rsidRPr="004B0055" w:rsidRDefault="004B0055" w:rsidP="004B005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Triangle (</w:t>
      </w:r>
      <w:r w:rsidRPr="004B0055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त्रिकोण)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stability and balance.</w:t>
      </w:r>
    </w:p>
    <w:p w:rsidR="004B0055" w:rsidRPr="004B0055" w:rsidRDefault="004B0055" w:rsidP="004B005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Eye (</w:t>
      </w:r>
      <w:r w:rsidRPr="004B0055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आँखा)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vigilance and foresight.</w:t>
      </w:r>
    </w:p>
    <w:p w:rsidR="004B0055" w:rsidRPr="004B0055" w:rsidRDefault="004B0055" w:rsidP="004B005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>Together they symbolize proactive protection and community trust.</w:t>
      </w:r>
    </w:p>
    <w:p w:rsidR="004B0055" w:rsidRPr="004B0055" w:rsidRDefault="004B0055" w:rsidP="004B0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5" style="width:0;height:1.5pt" o:hralign="center" o:hrstd="t" o:hr="t" fillcolor="#a0a0a0" stroked="f"/>
        </w:pict>
      </w:r>
    </w:p>
    <w:p w:rsidR="00B865DE" w:rsidRPr="008C5112" w:rsidRDefault="004B0055" w:rsidP="004B00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✅ </w:t>
      </w:r>
      <w:r w:rsidRPr="004B00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Summary: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This Risk Management Framework merges </w:t>
      </w:r>
      <w:r w:rsidRPr="004B00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global NGO standards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(risk register, compliance, donor alignment) with </w:t>
      </w:r>
      <w:r w:rsidRPr="004B00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Nepali realities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(community committees, disaster risks, caste/gender sensitivity). It ensures Console Mission remains </w:t>
      </w:r>
      <w:r w:rsidRPr="004B005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resilient, transparent, and trusted</w:t>
      </w:r>
      <w:r w:rsidRPr="004B0055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sectPr w:rsidR="00B865DE" w:rsidRPr="008C5112" w:rsidSect="008B05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72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BA9" w:rsidRDefault="009C3BA9" w:rsidP="008C5112">
      <w:pPr>
        <w:spacing w:after="0" w:line="240" w:lineRule="auto"/>
      </w:pPr>
      <w:r>
        <w:separator/>
      </w:r>
    </w:p>
  </w:endnote>
  <w:endnote w:type="continuationSeparator" w:id="0">
    <w:p w:rsidR="009C3BA9" w:rsidRDefault="009C3BA9" w:rsidP="008C5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jaVu Sans Mono">
    <w:panose1 w:val="020B0609030804020204"/>
    <w:charset w:val="00"/>
    <w:family w:val="modern"/>
    <w:pitch w:val="fixed"/>
    <w:sig w:usb0="E70026FF" w:usb1="D200F9FB" w:usb2="02000028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2A9" w:rsidRDefault="004562A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208448798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8C5112" w:rsidRPr="008C5112" w:rsidRDefault="008C5112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112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C3BA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8C5112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C3BA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C5112" w:rsidRDefault="008C511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2A9" w:rsidRDefault="004562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BA9" w:rsidRDefault="009C3BA9" w:rsidP="008C5112">
      <w:pPr>
        <w:spacing w:after="0" w:line="240" w:lineRule="auto"/>
      </w:pPr>
      <w:r>
        <w:separator/>
      </w:r>
    </w:p>
  </w:footnote>
  <w:footnote w:type="continuationSeparator" w:id="0">
    <w:p w:rsidR="009C3BA9" w:rsidRDefault="009C3BA9" w:rsidP="008C5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2A9" w:rsidRDefault="009C3BA9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0715157" o:spid="_x0000_s2050" type="#_x0000_t75" style="position:absolute;margin-left:0;margin-top:0;width:487.05pt;height:453pt;z-index:-251657216;mso-position-horizontal:center;mso-position-horizontal-relative:margin;mso-position-vertical:center;mso-position-vertical-relative:margin" o:allowincell="f">
          <v:imagedata r:id="rId1" o:title="2 color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2A9" w:rsidRDefault="009C3BA9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0715158" o:spid="_x0000_s2051" type="#_x0000_t75" style="position:absolute;margin-left:0;margin-top:0;width:487.05pt;height:453pt;z-index:-251656192;mso-position-horizontal:center;mso-position-horizontal-relative:margin;mso-position-vertical:center;mso-position-vertical-relative:margin" o:allowincell="f">
          <v:imagedata r:id="rId1" o:title="2 color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2A9" w:rsidRDefault="009C3BA9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0715156" o:spid="_x0000_s2049" type="#_x0000_t75" style="position:absolute;margin-left:0;margin-top:0;width:487.05pt;height:453pt;z-index:-251658240;mso-position-horizontal:center;mso-position-horizontal-relative:margin;mso-position-vertical:center;mso-position-vertical-relative:margin" o:allowincell="f">
          <v:imagedata r:id="rId1" o:title="2 color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9705F"/>
    <w:multiLevelType w:val="multilevel"/>
    <w:tmpl w:val="64CE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65468"/>
    <w:multiLevelType w:val="multilevel"/>
    <w:tmpl w:val="A386D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3C042C"/>
    <w:multiLevelType w:val="multilevel"/>
    <w:tmpl w:val="85DCD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A71E4F"/>
    <w:multiLevelType w:val="multilevel"/>
    <w:tmpl w:val="F5CAF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5C3104"/>
    <w:multiLevelType w:val="multilevel"/>
    <w:tmpl w:val="50CE6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BB7D4A"/>
    <w:multiLevelType w:val="multilevel"/>
    <w:tmpl w:val="9DBE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9D6B00"/>
    <w:multiLevelType w:val="multilevel"/>
    <w:tmpl w:val="45D69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963FE8"/>
    <w:multiLevelType w:val="multilevel"/>
    <w:tmpl w:val="B900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BE3D30"/>
    <w:multiLevelType w:val="multilevel"/>
    <w:tmpl w:val="5138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4C4D6F"/>
    <w:multiLevelType w:val="multilevel"/>
    <w:tmpl w:val="B950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C74B9D"/>
    <w:multiLevelType w:val="multilevel"/>
    <w:tmpl w:val="FFBA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F1320F"/>
    <w:multiLevelType w:val="multilevel"/>
    <w:tmpl w:val="2C3C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4D6FAB"/>
    <w:multiLevelType w:val="multilevel"/>
    <w:tmpl w:val="71E49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A45FE4"/>
    <w:multiLevelType w:val="multilevel"/>
    <w:tmpl w:val="E66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4C6895"/>
    <w:multiLevelType w:val="multilevel"/>
    <w:tmpl w:val="ECC4E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3D597A"/>
    <w:multiLevelType w:val="multilevel"/>
    <w:tmpl w:val="CF604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C26B67"/>
    <w:multiLevelType w:val="multilevel"/>
    <w:tmpl w:val="30266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5D1544"/>
    <w:multiLevelType w:val="multilevel"/>
    <w:tmpl w:val="01D00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293DA9"/>
    <w:multiLevelType w:val="multilevel"/>
    <w:tmpl w:val="6CDC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BB493C"/>
    <w:multiLevelType w:val="multilevel"/>
    <w:tmpl w:val="7EA61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A7482E"/>
    <w:multiLevelType w:val="multilevel"/>
    <w:tmpl w:val="C450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786409"/>
    <w:multiLevelType w:val="multilevel"/>
    <w:tmpl w:val="0DE6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3E6618"/>
    <w:multiLevelType w:val="multilevel"/>
    <w:tmpl w:val="CE66C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325002"/>
    <w:multiLevelType w:val="multilevel"/>
    <w:tmpl w:val="5078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A03E73"/>
    <w:multiLevelType w:val="multilevel"/>
    <w:tmpl w:val="0F6E7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2C46AB"/>
    <w:multiLevelType w:val="multilevel"/>
    <w:tmpl w:val="BB3EE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696465"/>
    <w:multiLevelType w:val="multilevel"/>
    <w:tmpl w:val="9CDE6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BF748C"/>
    <w:multiLevelType w:val="multilevel"/>
    <w:tmpl w:val="E788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2"/>
  </w:num>
  <w:num w:numId="3">
    <w:abstractNumId w:val="23"/>
  </w:num>
  <w:num w:numId="4">
    <w:abstractNumId w:val="18"/>
  </w:num>
  <w:num w:numId="5">
    <w:abstractNumId w:val="9"/>
  </w:num>
  <w:num w:numId="6">
    <w:abstractNumId w:val="27"/>
  </w:num>
  <w:num w:numId="7">
    <w:abstractNumId w:val="15"/>
  </w:num>
  <w:num w:numId="8">
    <w:abstractNumId w:val="24"/>
  </w:num>
  <w:num w:numId="9">
    <w:abstractNumId w:val="21"/>
  </w:num>
  <w:num w:numId="10">
    <w:abstractNumId w:val="26"/>
  </w:num>
  <w:num w:numId="11">
    <w:abstractNumId w:val="6"/>
  </w:num>
  <w:num w:numId="12">
    <w:abstractNumId w:val="20"/>
  </w:num>
  <w:num w:numId="13">
    <w:abstractNumId w:val="7"/>
  </w:num>
  <w:num w:numId="14">
    <w:abstractNumId w:val="5"/>
  </w:num>
  <w:num w:numId="15">
    <w:abstractNumId w:val="4"/>
  </w:num>
  <w:num w:numId="16">
    <w:abstractNumId w:val="16"/>
  </w:num>
  <w:num w:numId="17">
    <w:abstractNumId w:val="14"/>
  </w:num>
  <w:num w:numId="18">
    <w:abstractNumId w:val="2"/>
  </w:num>
  <w:num w:numId="19">
    <w:abstractNumId w:val="0"/>
  </w:num>
  <w:num w:numId="20">
    <w:abstractNumId w:val="17"/>
  </w:num>
  <w:num w:numId="21">
    <w:abstractNumId w:val="1"/>
  </w:num>
  <w:num w:numId="22">
    <w:abstractNumId w:val="12"/>
  </w:num>
  <w:num w:numId="23">
    <w:abstractNumId w:val="8"/>
  </w:num>
  <w:num w:numId="24">
    <w:abstractNumId w:val="19"/>
  </w:num>
  <w:num w:numId="25">
    <w:abstractNumId w:val="3"/>
  </w:num>
  <w:num w:numId="26">
    <w:abstractNumId w:val="10"/>
  </w:num>
  <w:num w:numId="27">
    <w:abstractNumId w:val="13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5BB"/>
    <w:rsid w:val="000A0830"/>
    <w:rsid w:val="000A45EE"/>
    <w:rsid w:val="000F5CB6"/>
    <w:rsid w:val="00122C9A"/>
    <w:rsid w:val="003A1B4A"/>
    <w:rsid w:val="004562A9"/>
    <w:rsid w:val="004B0055"/>
    <w:rsid w:val="00785F8F"/>
    <w:rsid w:val="007D0866"/>
    <w:rsid w:val="00897EF7"/>
    <w:rsid w:val="008B05BB"/>
    <w:rsid w:val="008C5112"/>
    <w:rsid w:val="009C3BA9"/>
    <w:rsid w:val="00AC130F"/>
    <w:rsid w:val="00AD5A04"/>
    <w:rsid w:val="00EA1E96"/>
    <w:rsid w:val="00EE1CDC"/>
    <w:rsid w:val="00F3014F"/>
    <w:rsid w:val="00FD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GB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A04"/>
  </w:style>
  <w:style w:type="paragraph" w:styleId="Heading1">
    <w:name w:val="heading 1"/>
    <w:basedOn w:val="Normal"/>
    <w:link w:val="Heading1Char"/>
    <w:uiPriority w:val="9"/>
    <w:qFormat/>
    <w:rsid w:val="008B05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8B05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8B05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5BB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B05BB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B05B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semiHidden/>
    <w:unhideWhenUsed/>
    <w:rsid w:val="008B0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8B05B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C5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112"/>
  </w:style>
  <w:style w:type="paragraph" w:styleId="Footer">
    <w:name w:val="footer"/>
    <w:basedOn w:val="Normal"/>
    <w:link w:val="FooterChar"/>
    <w:uiPriority w:val="99"/>
    <w:unhideWhenUsed/>
    <w:rsid w:val="008C5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112"/>
  </w:style>
  <w:style w:type="paragraph" w:styleId="BalloonText">
    <w:name w:val="Balloon Text"/>
    <w:basedOn w:val="Normal"/>
    <w:link w:val="BalloonTextChar"/>
    <w:uiPriority w:val="99"/>
    <w:semiHidden/>
    <w:unhideWhenUsed/>
    <w:rsid w:val="00AC130F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30F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GB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A04"/>
  </w:style>
  <w:style w:type="paragraph" w:styleId="Heading1">
    <w:name w:val="heading 1"/>
    <w:basedOn w:val="Normal"/>
    <w:link w:val="Heading1Char"/>
    <w:uiPriority w:val="9"/>
    <w:qFormat/>
    <w:rsid w:val="008B05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8B05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8B05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5BB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B05BB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B05B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semiHidden/>
    <w:unhideWhenUsed/>
    <w:rsid w:val="008B0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8B05B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C5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112"/>
  </w:style>
  <w:style w:type="paragraph" w:styleId="Footer">
    <w:name w:val="footer"/>
    <w:basedOn w:val="Normal"/>
    <w:link w:val="FooterChar"/>
    <w:uiPriority w:val="99"/>
    <w:unhideWhenUsed/>
    <w:rsid w:val="008C5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112"/>
  </w:style>
  <w:style w:type="paragraph" w:styleId="BalloonText">
    <w:name w:val="Balloon Text"/>
    <w:basedOn w:val="Normal"/>
    <w:link w:val="BalloonTextChar"/>
    <w:uiPriority w:val="99"/>
    <w:semiHidden/>
    <w:unhideWhenUsed/>
    <w:rsid w:val="00AC130F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30F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5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557</Words>
  <Characters>3179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/>
      <vt:lpstr>⚖️ Console Mission – Risk Management Framework</vt:lpstr>
      <vt:lpstr>    1. Purpose / उद्देश्य</vt:lpstr>
      <vt:lpstr>    2. Scope / दायरा</vt:lpstr>
      <vt:lpstr>    3. Core Principles / मूल सिद्धान्तहरू</vt:lpstr>
      <vt:lpstr>    4. Risk Categories / जोखिमका प्रकारहरू</vt:lpstr>
      <vt:lpstr>    5. Risk Management Cycle / जोखिम व्यवस्थापन चक्र</vt:lpstr>
      <vt:lpstr>    6. Tools &amp; Mechanisms / उपकरणहरू</vt:lpstr>
      <vt:lpstr>    7. Roles &amp; Responsibilities / भूमिकाहरू</vt:lpstr>
      <vt:lpstr>    8. Commitment to Nepal’s Context / नेपालको सन्दर्भमा प्रतिबद्धता</vt:lpstr>
      <vt:lpstr>    9. Symbolic Representation / प्रतीकात्मक प्रस्तुति</vt:lpstr>
    </vt:vector>
  </TitlesOfParts>
  <Company>HP</Company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Project</dc:creator>
  <cp:lastModifiedBy>Project</cp:lastModifiedBy>
  <cp:revision>2</cp:revision>
  <dcterms:created xsi:type="dcterms:W3CDTF">2025-12-18T07:37:00Z</dcterms:created>
  <dcterms:modified xsi:type="dcterms:W3CDTF">2025-12-18T07:37:00Z</dcterms:modified>
</cp:coreProperties>
</file>